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FE642" w14:textId="1CE8F18E" w:rsidR="00604E03" w:rsidRDefault="00604E03" w:rsidP="00604E0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604E03">
          <w:rPr>
            <w:b/>
            <w:i/>
            <w:noProof/>
            <w:sz w:val="28"/>
            <w:lang w:val="en-US"/>
          </w:rPr>
          <w:t>R4-2500304</w:t>
        </w:r>
      </w:fldSimple>
    </w:p>
    <w:p w14:paraId="47813F3A" w14:textId="77777777" w:rsidR="00604E03" w:rsidRPr="00056B4F" w:rsidRDefault="00604E03" w:rsidP="00604E03">
      <w:pPr>
        <w:tabs>
          <w:tab w:val="left" w:pos="2160"/>
        </w:tabs>
        <w:rPr>
          <w:rFonts w:ascii="Arial" w:hAnsi="Arial" w:cs="Arial"/>
          <w:b/>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sidRPr="00E6420C">
        <w:rPr>
          <w:rFonts w:ascii="Arial" w:hAnsi="Arial" w:cs="Arial"/>
          <w:b/>
          <w:noProof/>
          <w:sz w:val="24"/>
          <w:szCs w:val="24"/>
        </w:rPr>
        <w:t>Athens</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sidRPr="00E6420C">
        <w:rPr>
          <w:rFonts w:ascii="Arial" w:hAnsi="Arial" w:cs="Arial"/>
          <w:b/>
          <w:noProof/>
          <w:sz w:val="24"/>
          <w:szCs w:val="24"/>
        </w:rPr>
        <w:t>Greece</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17th February</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sidRPr="00E6420C">
        <w:rPr>
          <w:rFonts w:ascii="Arial" w:hAnsi="Arial" w:cs="Arial"/>
          <w:b/>
          <w:noProof/>
          <w:sz w:val="24"/>
          <w:szCs w:val="24"/>
        </w:rPr>
        <w:t>21st February 2025</w:t>
      </w:r>
      <w:r w:rsidRPr="00E6420C">
        <w:rPr>
          <w:rFonts w:ascii="Arial" w:hAnsi="Arial" w:cs="Arial"/>
          <w:b/>
          <w:noProof/>
          <w:sz w:val="24"/>
          <w:szCs w:val="24"/>
        </w:rPr>
        <w:fldChar w:fldCharType="end"/>
      </w:r>
    </w:p>
    <w:p w14:paraId="39A0EE25" w14:textId="77777777" w:rsidR="00D309CC" w:rsidRPr="00056B4F" w:rsidRDefault="00D309CC" w:rsidP="00D309CC">
      <w:pPr>
        <w:tabs>
          <w:tab w:val="left" w:pos="2160"/>
        </w:tabs>
        <w:rPr>
          <w:rFonts w:ascii="Arial" w:hAnsi="Arial" w:cs="Arial"/>
          <w:b/>
        </w:rPr>
      </w:pPr>
    </w:p>
    <w:p w14:paraId="002CDD31" w14:textId="6A585416" w:rsidR="001112A7" w:rsidRPr="00CE7214" w:rsidRDefault="001112A7" w:rsidP="001112A7">
      <w:pPr>
        <w:pStyle w:val="CH"/>
        <w:rPr>
          <w:lang w:val="en-US"/>
        </w:rPr>
      </w:pPr>
      <w:r w:rsidRPr="0008103A">
        <w:t>Agenda item:</w:t>
      </w:r>
      <w:r>
        <w:tab/>
      </w:r>
      <w:r w:rsidR="00604E03" w:rsidRPr="00604E03">
        <w:rPr>
          <w:lang w:val="en-US"/>
        </w:rPr>
        <w:t>7.1.1.2.1</w:t>
      </w:r>
    </w:p>
    <w:p w14:paraId="542E5194" w14:textId="77777777" w:rsidR="001112A7" w:rsidRPr="00F614AC" w:rsidRDefault="001112A7" w:rsidP="001112A7">
      <w:pPr>
        <w:pStyle w:val="CH"/>
        <w:rPr>
          <w:b w:val="0"/>
        </w:rPr>
      </w:pPr>
      <w:r w:rsidRPr="00F614AC">
        <w:t>Source:</w:t>
      </w:r>
      <w:r w:rsidRPr="00F614AC">
        <w:tab/>
        <w:t>Apple</w:t>
      </w:r>
    </w:p>
    <w:p w14:paraId="0FFC7E20" w14:textId="77777777" w:rsidR="001112A7" w:rsidRPr="00F614AC" w:rsidRDefault="001112A7" w:rsidP="001112A7">
      <w:pPr>
        <w:pStyle w:val="CH"/>
      </w:pPr>
      <w:r w:rsidRPr="00F614AC">
        <w:t>Title:</w:t>
      </w:r>
      <w:r w:rsidRPr="00F614AC">
        <w:tab/>
      </w:r>
      <w:r w:rsidRPr="00940707">
        <w:rPr>
          <w:color w:val="262626"/>
          <w:szCs w:val="24"/>
          <w:lang w:eastAsia="en-GB"/>
        </w:rPr>
        <w:t>On Rel-19 power domain enhancement for FR1</w:t>
      </w:r>
    </w:p>
    <w:p w14:paraId="647F4DF1" w14:textId="371925D1" w:rsidR="001112A7" w:rsidRPr="008D25F1" w:rsidRDefault="001112A7" w:rsidP="001112A7">
      <w:pPr>
        <w:pStyle w:val="CH"/>
        <w:rPr>
          <w:lang w:val="en-US"/>
        </w:rPr>
      </w:pPr>
      <w:r w:rsidRPr="008D25F1">
        <w:rPr>
          <w:lang w:val="en-US"/>
        </w:rPr>
        <w:t>WI/SI:</w:t>
      </w:r>
      <w:r w:rsidRPr="008D25F1">
        <w:rPr>
          <w:lang w:val="en-US"/>
        </w:rPr>
        <w:tab/>
        <w:t>NR_ENDC_RF_Ph4-Core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04208EE1" w:rsidR="00D77007" w:rsidRDefault="00D77007" w:rsidP="00D77007">
      <w:pPr>
        <w:pStyle w:val="Heading5"/>
      </w:pPr>
      <w:r>
        <w:t>2.</w:t>
      </w:r>
      <w:r w:rsidR="00B07BF3">
        <w:t>1</w:t>
      </w:r>
      <w:r>
        <w:t xml:space="preserve"> Converting outer RB allocations into inner RB allocations</w:t>
      </w:r>
    </w:p>
    <w:p w14:paraId="3AF887E3" w14:textId="7B90D480" w:rsidR="00FE25EF" w:rsidRDefault="00E43CAD" w:rsidP="00FE25EF">
      <w:pPr>
        <w:jc w:val="both"/>
      </w:pPr>
      <w:r>
        <w:t xml:space="preserve">RAN4 </w:t>
      </w:r>
      <w:r w:rsidR="002809CF">
        <w:t>found</w:t>
      </w:r>
      <w:r>
        <w:t xml:space="preserve"> that </w:t>
      </w:r>
      <w:r w:rsidR="005330CF">
        <w:t xml:space="preserve">a viable scheme for the power domain enhancement is the </w:t>
      </w:r>
      <w:r w:rsidR="002809CF">
        <w:t>conversion of</w:t>
      </w:r>
      <w:r>
        <w:t xml:space="preserve"> </w:t>
      </w:r>
      <w:r w:rsidR="005330CF">
        <w:t>‘</w:t>
      </w:r>
      <w:r>
        <w:t>outer</w:t>
      </w:r>
      <w:r w:rsidR="005330CF">
        <w:t>’</w:t>
      </w:r>
      <w:r>
        <w:t xml:space="preserve"> RB allocations into </w:t>
      </w:r>
      <w:r w:rsidR="005330CF">
        <w:t>‘</w:t>
      </w:r>
      <w:r>
        <w:t>inner</w:t>
      </w:r>
      <w:r w:rsidR="005330CF">
        <w:t>’</w:t>
      </w:r>
      <w:r>
        <w:t xml:space="preserve"> RB allocations.</w:t>
      </w:r>
      <w:r w:rsidR="00475181">
        <w:t xml:space="preserve"> This is achieved via channel extension.</w:t>
      </w:r>
      <w:r>
        <w:t xml:space="preserve"> </w:t>
      </w:r>
      <w:r w:rsidR="00F200F9">
        <w:t>It is proposed that the</w:t>
      </w:r>
      <w:r w:rsidR="00FE25EF">
        <w:t xml:space="preserve"> total number of RBs (“original UE channel RBs” + “RB extension”) is an element of Table 5.3.2-1 from TS 38.101-1. </w:t>
      </w:r>
    </w:p>
    <w:p w14:paraId="3F119E30" w14:textId="2B51A5CF" w:rsidR="00500402" w:rsidRDefault="00FE25EF" w:rsidP="00675F8A">
      <w:pPr>
        <w:jc w:val="center"/>
      </w:pPr>
      <w:r w:rsidRPr="00AD2DCE">
        <w:rPr>
          <w:noProof/>
        </w:rPr>
        <w:drawing>
          <wp:inline distT="0" distB="0" distL="0" distR="0" wp14:anchorId="3FE0E2BA" wp14:editId="3166C82C">
            <wp:extent cx="5003642" cy="580238"/>
            <wp:effectExtent l="0" t="0" r="635" b="4445"/>
            <wp:docPr id="192906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6607" name=""/>
                    <pic:cNvPicPr/>
                  </pic:nvPicPr>
                  <pic:blipFill>
                    <a:blip r:embed="rId10"/>
                    <a:stretch>
                      <a:fillRect/>
                    </a:stretch>
                  </pic:blipFill>
                  <pic:spPr>
                    <a:xfrm>
                      <a:off x="0" y="0"/>
                      <a:ext cx="5094056" cy="590723"/>
                    </a:xfrm>
                    <a:prstGeom prst="rect">
                      <a:avLst/>
                    </a:prstGeom>
                  </pic:spPr>
                </pic:pic>
              </a:graphicData>
            </a:graphic>
          </wp:inline>
        </w:drawing>
      </w:r>
    </w:p>
    <w:p w14:paraId="5A748E1D" w14:textId="47CB2E64" w:rsidR="005E3BD9" w:rsidRDefault="005E3BD9" w:rsidP="00266B7E">
      <w:pPr>
        <w:jc w:val="both"/>
      </w:pPr>
      <w:r>
        <w:t xml:space="preserve">When </w:t>
      </w:r>
      <w:r w:rsidR="00D73A5D">
        <w:t>extending</w:t>
      </w:r>
      <w:r>
        <w:t xml:space="preserve"> the </w:t>
      </w:r>
      <w:r w:rsidR="0035377B">
        <w:t>UE CBW,</w:t>
      </w:r>
      <w:r>
        <w:t xml:space="preserve"> the combined bandwidth should be </w:t>
      </w:r>
      <w:r w:rsidR="009077CF">
        <w:t>from the set</w:t>
      </w:r>
      <w:r>
        <w:t xml:space="preserve"> of </w:t>
      </w:r>
      <w:r w:rsidR="009077CF">
        <w:t>specified</w:t>
      </w:r>
      <w:r>
        <w:t xml:space="preserve"> channel sizes from TS 38.101-1 clause 5.3.2. Any other combined bandwidth would provide issues</w:t>
      </w:r>
      <w:r w:rsidR="000B0AFE">
        <w:t xml:space="preserve"> for correctly applying the</w:t>
      </w:r>
      <w:r>
        <w:t xml:space="preserve"> RF spectrum emission requirements </w:t>
      </w:r>
      <w:r w:rsidR="00740934">
        <w:t>and</w:t>
      </w:r>
      <w:r>
        <w:t xml:space="preserve"> increase implementation complexity. </w:t>
      </w:r>
      <w:r w:rsidR="00740934">
        <w:t xml:space="preserve">The RF spectrum emission requirements are defined with respect to the channel sizes of clause 5.3.2. </w:t>
      </w:r>
      <w:r w:rsidR="001E70D1">
        <w:t>Consequently</w:t>
      </w:r>
      <w:r w:rsidR="00500402">
        <w:t xml:space="preserve">, any extension which does not lead to a regular channel size would result into undefined emission requirements.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40934" w14:paraId="100874E2" w14:textId="77777777" w:rsidTr="00740934">
        <w:tc>
          <w:tcPr>
            <w:tcW w:w="4815" w:type="dxa"/>
            <w:vAlign w:val="center"/>
          </w:tcPr>
          <w:p w14:paraId="62B7096D" w14:textId="36E43809" w:rsidR="00740934" w:rsidRPr="00E51DBC" w:rsidRDefault="00740934" w:rsidP="00740934">
            <w:pPr>
              <w:spacing w:after="0"/>
              <w:jc w:val="center"/>
              <w:rPr>
                <w:sz w:val="10"/>
                <w:szCs w:val="10"/>
              </w:rPr>
            </w:pPr>
            <w:r w:rsidRPr="00E51DBC">
              <w:rPr>
                <w:sz w:val="10"/>
                <w:szCs w:val="10"/>
              </w:rPr>
              <w:lastRenderedPageBreak/>
              <w:t xml:space="preserve"> </w:t>
            </w:r>
          </w:p>
          <w:p w14:paraId="7F59285B" w14:textId="22F1861F" w:rsidR="00740934" w:rsidRDefault="00740934" w:rsidP="00740934">
            <w:pPr>
              <w:jc w:val="center"/>
            </w:pPr>
            <w:r w:rsidRPr="00740934">
              <w:rPr>
                <w:noProof/>
              </w:rPr>
              <w:drawing>
                <wp:inline distT="0" distB="0" distL="0" distR="0" wp14:anchorId="26B31FD7" wp14:editId="40D94702">
                  <wp:extent cx="2878543" cy="766404"/>
                  <wp:effectExtent l="0" t="0" r="0" b="0"/>
                  <wp:docPr id="1163958665" name="Picture 1" descr="A table of data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58665" name="Picture 1" descr="A table of data with text&#10;&#10;Description automatically generated with medium confidence"/>
                          <pic:cNvPicPr/>
                        </pic:nvPicPr>
                        <pic:blipFill>
                          <a:blip r:embed="rId11"/>
                          <a:stretch>
                            <a:fillRect/>
                          </a:stretch>
                        </pic:blipFill>
                        <pic:spPr>
                          <a:xfrm>
                            <a:off x="0" y="0"/>
                            <a:ext cx="3144968" cy="837339"/>
                          </a:xfrm>
                          <a:prstGeom prst="rect">
                            <a:avLst/>
                          </a:prstGeom>
                        </pic:spPr>
                      </pic:pic>
                    </a:graphicData>
                  </a:graphic>
                </wp:inline>
              </w:drawing>
            </w:r>
          </w:p>
        </w:tc>
        <w:tc>
          <w:tcPr>
            <w:tcW w:w="4816" w:type="dxa"/>
            <w:vAlign w:val="center"/>
          </w:tcPr>
          <w:p w14:paraId="1A6E2EDC" w14:textId="412CC2CC" w:rsidR="00740934" w:rsidRDefault="00740934" w:rsidP="00740934">
            <w:pPr>
              <w:jc w:val="center"/>
            </w:pPr>
            <w:r w:rsidRPr="00740934">
              <w:rPr>
                <w:noProof/>
              </w:rPr>
              <w:drawing>
                <wp:inline distT="0" distB="0" distL="0" distR="0" wp14:anchorId="6D39F24F" wp14:editId="7843FE31">
                  <wp:extent cx="2498450" cy="956685"/>
                  <wp:effectExtent l="0" t="0" r="3810" b="0"/>
                  <wp:docPr id="1188176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176428" name=""/>
                          <pic:cNvPicPr/>
                        </pic:nvPicPr>
                        <pic:blipFill>
                          <a:blip r:embed="rId12"/>
                          <a:stretch>
                            <a:fillRect/>
                          </a:stretch>
                        </pic:blipFill>
                        <pic:spPr>
                          <a:xfrm>
                            <a:off x="0" y="0"/>
                            <a:ext cx="2515764" cy="963315"/>
                          </a:xfrm>
                          <a:prstGeom prst="rect">
                            <a:avLst/>
                          </a:prstGeom>
                        </pic:spPr>
                      </pic:pic>
                    </a:graphicData>
                  </a:graphic>
                </wp:inline>
              </w:drawing>
            </w:r>
          </w:p>
        </w:tc>
      </w:tr>
    </w:tbl>
    <w:p w14:paraId="1A0E1F76" w14:textId="672020FF" w:rsidR="00101A1B" w:rsidRDefault="003C241C" w:rsidP="00FE25EF">
      <w:pPr>
        <w:jc w:val="both"/>
      </w:pPr>
      <w:r w:rsidRPr="003C241C">
        <w:rPr>
          <w:b/>
          <w:bCs/>
        </w:rPr>
        <w:t>Proposal</w:t>
      </w:r>
      <w:r w:rsidR="0003451F">
        <w:rPr>
          <w:b/>
          <w:bCs/>
        </w:rPr>
        <w:t xml:space="preserve"> 1</w:t>
      </w:r>
      <w:r w:rsidRPr="003C241C">
        <w:rPr>
          <w:b/>
          <w:bCs/>
        </w:rPr>
        <w:t>:</w:t>
      </w:r>
      <w:r>
        <w:t xml:space="preserve"> </w:t>
      </w:r>
      <w:r w:rsidR="00101A1B" w:rsidRPr="007E33A1">
        <w:rPr>
          <w:i/>
          <w:iCs/>
        </w:rPr>
        <w:t xml:space="preserve">The CBW extension </w:t>
      </w:r>
      <w:r w:rsidR="00FE25EF" w:rsidRPr="007E33A1">
        <w:rPr>
          <w:i/>
          <w:iCs/>
        </w:rPr>
        <w:t>shall</w:t>
      </w:r>
      <w:r w:rsidR="00101A1B" w:rsidRPr="007E33A1">
        <w:rPr>
          <w:i/>
          <w:iCs/>
        </w:rPr>
        <w:t xml:space="preserve"> be aligned with existing channel bandwidth sizes</w:t>
      </w:r>
      <w:r w:rsidR="00534986" w:rsidRPr="007E33A1">
        <w:rPr>
          <w:i/>
          <w:iCs/>
        </w:rPr>
        <w:t>.</w:t>
      </w:r>
      <w:r w:rsidRPr="007E33A1">
        <w:rPr>
          <w:i/>
          <w:iCs/>
        </w:rPr>
        <w:t xml:space="preserve"> The extension should always result into a total number of RBs (“original UE channel RBs” + “RB extension”) being an element of Table 5.3.2-1 from TS 38.101-1</w:t>
      </w:r>
      <w:r w:rsidR="00852CED" w:rsidRPr="007E33A1">
        <w:rPr>
          <w:i/>
          <w:iCs/>
        </w:rPr>
        <w:t>.</w:t>
      </w:r>
      <w:r w:rsidRPr="007E33A1">
        <w:rPr>
          <w:i/>
          <w:iCs/>
        </w:rPr>
        <w:t xml:space="preserve"> </w:t>
      </w:r>
      <w:r w:rsidR="00CB0015" w:rsidRPr="007E33A1">
        <w:rPr>
          <w:i/>
          <w:iCs/>
        </w:rPr>
        <w:t>No</w:t>
      </w:r>
      <w:r w:rsidR="00101A1B" w:rsidRPr="007E33A1">
        <w:rPr>
          <w:i/>
          <w:iCs/>
        </w:rPr>
        <w:t xml:space="preserve"> intermediate extension</w:t>
      </w:r>
      <w:r w:rsidR="00CB0015" w:rsidRPr="007E33A1">
        <w:rPr>
          <w:i/>
          <w:iCs/>
        </w:rPr>
        <w:t xml:space="preserve"> shall be allowed</w:t>
      </w:r>
      <w:r w:rsidR="00101A1B" w:rsidRPr="007E33A1">
        <w:rPr>
          <w:i/>
          <w:iCs/>
        </w:rPr>
        <w:t xml:space="preserve"> as it introduces increased complexity for implementation</w:t>
      </w:r>
      <w:r w:rsidR="00CB0015" w:rsidRPr="007E33A1">
        <w:rPr>
          <w:i/>
          <w:iCs/>
        </w:rPr>
        <w:t xml:space="preserve"> and </w:t>
      </w:r>
      <w:r w:rsidR="0016170A" w:rsidRPr="007E33A1">
        <w:rPr>
          <w:i/>
          <w:iCs/>
        </w:rPr>
        <w:t>testing.</w:t>
      </w:r>
    </w:p>
    <w:p w14:paraId="7826B932" w14:textId="77777777" w:rsidR="00AD2DCE" w:rsidRDefault="00AD2DCE" w:rsidP="00AD2DCE">
      <w:pPr>
        <w:jc w:val="both"/>
      </w:pPr>
    </w:p>
    <w:p w14:paraId="163CC4A1" w14:textId="35533679" w:rsidR="00FD55EF" w:rsidRDefault="00FC33B0" w:rsidP="00FD55EF">
      <w:pPr>
        <w:pStyle w:val="Heading5"/>
      </w:pPr>
      <w:r>
        <w:t>2.</w:t>
      </w:r>
      <w:r w:rsidR="00B07BF3">
        <w:t>2</w:t>
      </w:r>
      <w:r>
        <w:t xml:space="preserve"> </w:t>
      </w:r>
      <w:r w:rsidR="00FD55EF">
        <w:t>On A-MPR</w:t>
      </w:r>
    </w:p>
    <w:p w14:paraId="22612122" w14:textId="3D94C1D1" w:rsidR="00FD55EF" w:rsidRPr="00FD55EF" w:rsidRDefault="00FD55EF" w:rsidP="00FD55EF">
      <w:r>
        <w:t>The WF [2] from RAN4#113 proposes further discussion on a method to enable power domain enhancement for network signalling:</w:t>
      </w:r>
    </w:p>
    <w:p w14:paraId="4B986459" w14:textId="020DDBFC" w:rsidR="00FD55EF" w:rsidRDefault="00FD55EF" w:rsidP="00FD55EF">
      <w:pPr>
        <w:jc w:val="center"/>
      </w:pPr>
      <w:r w:rsidRPr="00FD55EF">
        <w:rPr>
          <w:noProof/>
        </w:rPr>
        <w:drawing>
          <wp:inline distT="0" distB="0" distL="0" distR="0" wp14:anchorId="68BD032C" wp14:editId="2AA03621">
            <wp:extent cx="5769665" cy="1047888"/>
            <wp:effectExtent l="114300" t="101600" r="123190" b="133350"/>
            <wp:docPr id="192322802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28025" name="Picture 1" descr="A close up of text&#10;&#10;Description automatically generated"/>
                    <pic:cNvPicPr/>
                  </pic:nvPicPr>
                  <pic:blipFill>
                    <a:blip r:embed="rId13"/>
                    <a:stretch>
                      <a:fillRect/>
                    </a:stretch>
                  </pic:blipFill>
                  <pic:spPr>
                    <a:xfrm>
                      <a:off x="0" y="0"/>
                      <a:ext cx="5902327" cy="107198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747B10D" w14:textId="13A859DF" w:rsidR="00B23D14" w:rsidRDefault="00FD55EF" w:rsidP="00167169">
      <w:pPr>
        <w:jc w:val="both"/>
      </w:pPr>
      <w:r>
        <w:t xml:space="preserve">When specifying A-MPR for a certain network signalling </w:t>
      </w:r>
      <w:r w:rsidR="00CD7F6C">
        <w:t>label</w:t>
      </w:r>
      <w:r>
        <w:t xml:space="preserve"> </w:t>
      </w:r>
      <w:r w:rsidR="002D293F">
        <w:t>various</w:t>
      </w:r>
      <w:r>
        <w:t xml:space="preserve"> simulations are done to identify those RB allocations which are limited by the</w:t>
      </w:r>
      <w:r w:rsidR="00DD46B3">
        <w:t xml:space="preserve"> additional</w:t>
      </w:r>
      <w:r>
        <w:t xml:space="preserve"> emission requirement. The RB allocations are grouped into regions allowing additional power back-off compared to MPR. It is important to understand that the typical procedure is to only define A-MPR for those RB allocations which are exceeding MPR. If the emission limit requires power back-off below or close to MPR then there is often no A-MPR assigned. This can be done due to the total allowed power back-off being determined through </w:t>
      </w:r>
      <w:r w:rsidRPr="00FD55EF">
        <w:t>max(MPR, A-MPR)</w:t>
      </w:r>
      <w:r>
        <w:t>.</w:t>
      </w:r>
      <w:r w:rsidR="003B2FB3">
        <w:t xml:space="preserve"> When converting</w:t>
      </w:r>
      <w:r w:rsidR="00DE62C0">
        <w:t xml:space="preserve"> PC3</w:t>
      </w:r>
      <w:r w:rsidR="003B2FB3">
        <w:t xml:space="preserve"> ‘outer</w:t>
      </w:r>
      <w:r w:rsidR="006E4D05">
        <w:t>’</w:t>
      </w:r>
      <w:r w:rsidR="003B2FB3">
        <w:t xml:space="preserve"> allocations </w:t>
      </w:r>
      <w:r w:rsidR="00DE62C0">
        <w:t>in</w:t>
      </w:r>
      <w:r w:rsidR="003B2FB3">
        <w:t>to ‘inner</w:t>
      </w:r>
      <w:r w:rsidR="006E4D05">
        <w:t>’</w:t>
      </w:r>
      <w:r w:rsidR="003B2FB3">
        <w:t xml:space="preserve"> allocations</w:t>
      </w:r>
      <w:r w:rsidR="001E1C80">
        <w:t xml:space="preserve"> in an A-MPR scenario</w:t>
      </w:r>
      <w:r w:rsidR="003B2FB3">
        <w:t xml:space="preserve"> the power back-off</w:t>
      </w:r>
      <w:r w:rsidR="00124998">
        <w:t xml:space="preserve"> allowance</w:t>
      </w:r>
      <w:r w:rsidR="003B2FB3">
        <w:t xml:space="preserve"> </w:t>
      </w:r>
      <w:r w:rsidR="001E1C80">
        <w:t>could</w:t>
      </w:r>
      <w:r w:rsidR="00124998">
        <w:t xml:space="preserve"> be tightened </w:t>
      </w:r>
      <w:r w:rsidR="003B2FB3">
        <w:t xml:space="preserve">by up to 1dB for DFT-s-OFDM and up to 1.5dB for CP-OFDM. </w:t>
      </w:r>
      <w:r w:rsidR="00DE62C0">
        <w:t>In case of PC2 the</w:t>
      </w:r>
      <w:r w:rsidR="006E4D05">
        <w:t xml:space="preserve"> maximum</w:t>
      </w:r>
      <w:r w:rsidR="00DE62C0">
        <w:t xml:space="preserve"> </w:t>
      </w:r>
      <w:r w:rsidR="00BB41E6">
        <w:t>tightening</w:t>
      </w:r>
      <w:r w:rsidR="00DE62C0">
        <w:t xml:space="preserve"> is </w:t>
      </w:r>
      <w:r w:rsidR="00FB5712">
        <w:t xml:space="preserve">even </w:t>
      </w:r>
      <w:r w:rsidR="00DE62C0">
        <w:t xml:space="preserve">larger </w:t>
      </w:r>
      <w:r w:rsidR="00FB5712">
        <w:t>for ‘edge</w:t>
      </w:r>
      <w:r w:rsidR="006E4D05">
        <w:t>’</w:t>
      </w:r>
      <w:r w:rsidR="00FB5712">
        <w:t xml:space="preserve"> allocations as those feature</w:t>
      </w:r>
      <w:r w:rsidR="00B23D14">
        <w:t xml:space="preserve"> increased</w:t>
      </w:r>
      <w:r w:rsidR="00FB5712">
        <w:t xml:space="preserve"> MPR </w:t>
      </w:r>
      <w:r w:rsidR="00B23D14">
        <w:t>compared to ‘outer</w:t>
      </w:r>
      <w:r w:rsidR="006E4D05">
        <w:t>’</w:t>
      </w:r>
      <w:r w:rsidR="00284063">
        <w:t xml:space="preserve"> allocations</w:t>
      </w:r>
      <w:r w:rsidR="00FB5712">
        <w:t>.</w:t>
      </w:r>
      <w:r w:rsidR="00B23D14">
        <w:t xml:space="preserve"> </w:t>
      </w:r>
      <w:r w:rsidR="00300B0C">
        <w:t>If the power domain enhancement scheme is directly applied to channels being subject to A-MPR then it might imply considerable tightening</w:t>
      </w:r>
      <w:r w:rsidR="00DD46B3">
        <w:t xml:space="preserve"> for RB allocations which are limited by the additional emission requirement but are not part of an A-MPR region</w:t>
      </w:r>
      <w:r w:rsidR="00300B0C">
        <w:t>.</w:t>
      </w:r>
      <w:r w:rsidR="009B3319">
        <w:t xml:space="preserve"> RAN4 should discuss whether this </w:t>
      </w:r>
      <w:r w:rsidR="00DF5E27">
        <w:t>would be</w:t>
      </w:r>
      <w:r w:rsidR="009B3319">
        <w:t xml:space="preserve"> in scope of the general objective. Our preference is to only apply</w:t>
      </w:r>
      <w:r w:rsidR="00E3400D">
        <w:t xml:space="preserve"> the</w:t>
      </w:r>
      <w:r w:rsidR="009B3319">
        <w:t xml:space="preserve"> </w:t>
      </w:r>
      <w:r w:rsidR="00E3400D">
        <w:t>power domain enhancement scheme to channels which are not subject to A-MPR.</w:t>
      </w:r>
      <w:r w:rsidR="00DF5E27">
        <w:t xml:space="preserve"> </w:t>
      </w:r>
      <w:r w:rsidR="00CF6A82">
        <w:t xml:space="preserve">In many cases A-MPR is defined for the channel </w:t>
      </w:r>
      <w:r w:rsidR="00E42DCF">
        <w:t>located</w:t>
      </w:r>
      <w:r w:rsidR="00CF6A82">
        <w:t xml:space="preserve"> closest</w:t>
      </w:r>
      <w:r w:rsidR="00DD46B3">
        <w:t xml:space="preserve"> to the additional emission requirement</w:t>
      </w:r>
      <w:r w:rsidR="00CF6A82">
        <w:t xml:space="preserve"> while channel</w:t>
      </w:r>
      <w:r w:rsidR="001A397E">
        <w:t>s</w:t>
      </w:r>
      <w:r w:rsidR="00CF6A82">
        <w:t xml:space="preserve"> with certain guard gap </w:t>
      </w:r>
      <w:r w:rsidR="004B3078">
        <w:t>default to</w:t>
      </w:r>
      <w:r w:rsidR="00CF6A82">
        <w:t xml:space="preserve"> MPR.</w:t>
      </w:r>
      <w:r w:rsidR="0021230D">
        <w:t xml:space="preserve"> </w:t>
      </w:r>
      <w:r w:rsidR="00EA0C1E">
        <w:t>Those channels</w:t>
      </w:r>
      <w:r w:rsidR="0021230D">
        <w:t xml:space="preserve"> </w:t>
      </w:r>
      <w:r w:rsidR="00A21697">
        <w:t>could</w:t>
      </w:r>
      <w:r w:rsidR="0021230D">
        <w:t xml:space="preserve"> benefit from the power enhancement scheme</w:t>
      </w:r>
      <w:r w:rsidR="000A21A2">
        <w:t xml:space="preserve"> while minimising the risk for implementation</w:t>
      </w:r>
      <w:r w:rsidR="0021230D">
        <w:t>.</w:t>
      </w:r>
      <w:r w:rsidR="00F613C7">
        <w:t xml:space="preserve"> </w:t>
      </w:r>
    </w:p>
    <w:p w14:paraId="2658F185" w14:textId="31CE63E9" w:rsidR="00F613C7" w:rsidRDefault="00F613C7" w:rsidP="00167169">
      <w:pPr>
        <w:jc w:val="both"/>
      </w:pPr>
      <w:r>
        <w:t xml:space="preserve">The proposal simplifies the correct combining of MPR, A-MPR and </w:t>
      </w:r>
      <w:proofErr w:type="spellStart"/>
      <w:r>
        <w:t>MPR</w:t>
      </w:r>
      <w:r w:rsidRPr="00F613C7">
        <w:rPr>
          <w:vertAlign w:val="subscript"/>
        </w:rPr>
        <w:t>enh</w:t>
      </w:r>
      <w:proofErr w:type="spellEnd"/>
      <w:r>
        <w:t xml:space="preserve">. If only channels are used which are not subject to A-MPR then </w:t>
      </w:r>
      <w:proofErr w:type="spellStart"/>
      <w:r>
        <w:t>MPR</w:t>
      </w:r>
      <w:r w:rsidRPr="00F613C7">
        <w:rPr>
          <w:vertAlign w:val="subscript"/>
        </w:rPr>
        <w:t>enh</w:t>
      </w:r>
      <w:proofErr w:type="spellEnd"/>
      <w:r>
        <w:t xml:space="preserve"> can be directly applied on all RB allocations.</w:t>
      </w:r>
    </w:p>
    <w:p w14:paraId="3CB7E8CD" w14:textId="23A82A2E" w:rsidR="009B3319" w:rsidRPr="004E7807" w:rsidRDefault="009B3319" w:rsidP="00167169">
      <w:pPr>
        <w:jc w:val="both"/>
        <w:rPr>
          <w:i/>
          <w:iCs/>
        </w:rPr>
      </w:pPr>
      <w:r w:rsidRPr="004E7807">
        <w:rPr>
          <w:b/>
          <w:bCs/>
        </w:rPr>
        <w:t>Observation</w:t>
      </w:r>
      <w:r w:rsidR="0003451F">
        <w:rPr>
          <w:b/>
          <w:bCs/>
        </w:rPr>
        <w:t xml:space="preserve"> 1</w:t>
      </w:r>
      <w:r w:rsidRPr="004E7807">
        <w:rPr>
          <w:b/>
          <w:bCs/>
        </w:rPr>
        <w:t>:</w:t>
      </w:r>
      <w:r>
        <w:t xml:space="preserve"> </w:t>
      </w:r>
      <w:r w:rsidRPr="004E7807">
        <w:rPr>
          <w:i/>
          <w:iCs/>
        </w:rPr>
        <w:t>The typical procedure</w:t>
      </w:r>
      <w:r w:rsidR="00A50038" w:rsidRPr="004E7807">
        <w:rPr>
          <w:i/>
          <w:iCs/>
        </w:rPr>
        <w:t xml:space="preserve"> for defining A-MPR and regions</w:t>
      </w:r>
      <w:r w:rsidRPr="004E7807">
        <w:rPr>
          <w:i/>
          <w:iCs/>
        </w:rPr>
        <w:t xml:space="preserve"> is to only define A-MPR for those RB allocations which are exceeding MPR. If the emission limit requires power back-off below or close to MPR then there is often no A-MPR assigned. This can be done due to the total allowed power back-off being determined through max(MPR, A-MPR).</w:t>
      </w:r>
    </w:p>
    <w:p w14:paraId="37131643" w14:textId="59090FDD" w:rsidR="00300B0C" w:rsidRDefault="00300B0C" w:rsidP="00167169">
      <w:pPr>
        <w:jc w:val="both"/>
        <w:rPr>
          <w:i/>
          <w:iCs/>
        </w:rPr>
      </w:pPr>
      <w:r w:rsidRPr="004E7807">
        <w:rPr>
          <w:b/>
          <w:bCs/>
        </w:rPr>
        <w:t>Observation</w:t>
      </w:r>
      <w:r w:rsidR="0003451F">
        <w:rPr>
          <w:b/>
          <w:bCs/>
        </w:rPr>
        <w:t xml:space="preserve"> 2</w:t>
      </w:r>
      <w:r w:rsidRPr="004E7807">
        <w:rPr>
          <w:b/>
          <w:bCs/>
        </w:rPr>
        <w:t>:</w:t>
      </w:r>
      <w:r>
        <w:t xml:space="preserve"> </w:t>
      </w:r>
      <w:r w:rsidRPr="004E7807">
        <w:rPr>
          <w:i/>
          <w:iCs/>
        </w:rPr>
        <w:t>If the power domain enhancement scheme</w:t>
      </w:r>
      <w:r w:rsidR="00601153" w:rsidRPr="004E7807">
        <w:rPr>
          <w:i/>
          <w:iCs/>
        </w:rPr>
        <w:t xml:space="preserve"> of converting ‘outer’ to ‘inner’</w:t>
      </w:r>
      <w:r w:rsidRPr="004E7807">
        <w:rPr>
          <w:i/>
          <w:iCs/>
        </w:rPr>
        <w:t xml:space="preserve"> is directly applied to channels being subject to A-MPR then it might imply considerable tightening for the power back-off</w:t>
      </w:r>
      <w:r w:rsidR="004E7807">
        <w:rPr>
          <w:i/>
          <w:iCs/>
        </w:rPr>
        <w:t xml:space="preserve"> of up to 1.5dB for PC3 and </w:t>
      </w:r>
      <w:r w:rsidR="002469F9">
        <w:rPr>
          <w:i/>
          <w:iCs/>
        </w:rPr>
        <w:t xml:space="preserve">up to </w:t>
      </w:r>
      <w:r w:rsidR="004E7807">
        <w:rPr>
          <w:i/>
          <w:iCs/>
        </w:rPr>
        <w:t>3.5dB for PC2</w:t>
      </w:r>
      <w:r w:rsidRPr="004E7807">
        <w:rPr>
          <w:i/>
          <w:iCs/>
        </w:rPr>
        <w:t>.</w:t>
      </w:r>
    </w:p>
    <w:p w14:paraId="304B1AF6" w14:textId="170F38F0" w:rsidR="00060A4F" w:rsidRDefault="00060A4F" w:rsidP="00167169">
      <w:pPr>
        <w:jc w:val="both"/>
        <w:rPr>
          <w:i/>
          <w:iCs/>
        </w:rPr>
      </w:pPr>
      <w:r w:rsidRPr="00060A4F">
        <w:rPr>
          <w:b/>
          <w:bCs/>
        </w:rPr>
        <w:t>Observation</w:t>
      </w:r>
      <w:r w:rsidR="0003451F">
        <w:rPr>
          <w:b/>
          <w:bCs/>
        </w:rPr>
        <w:t xml:space="preserve"> 3</w:t>
      </w:r>
      <w:r w:rsidRPr="00060A4F">
        <w:rPr>
          <w:b/>
          <w:bCs/>
        </w:rPr>
        <w:t>:</w:t>
      </w:r>
      <w:r>
        <w:rPr>
          <w:i/>
          <w:iCs/>
        </w:rPr>
        <w:t xml:space="preserve"> Tightening the power back-off</w:t>
      </w:r>
      <w:r w:rsidR="00E74700">
        <w:rPr>
          <w:i/>
          <w:iCs/>
        </w:rPr>
        <w:t xml:space="preserve"> </w:t>
      </w:r>
      <w:r>
        <w:rPr>
          <w:i/>
          <w:iCs/>
        </w:rPr>
        <w:t xml:space="preserve">might require additional testing which adds time and cost to a UE supporting the new power domain enhancement </w:t>
      </w:r>
      <w:r w:rsidR="000836FC">
        <w:rPr>
          <w:i/>
          <w:iCs/>
        </w:rPr>
        <w:t>scheme</w:t>
      </w:r>
      <w:r>
        <w:rPr>
          <w:i/>
          <w:iCs/>
        </w:rPr>
        <w:t xml:space="preserve">. </w:t>
      </w:r>
    </w:p>
    <w:p w14:paraId="13460415" w14:textId="557A787F" w:rsidR="0052392A" w:rsidRDefault="00E3400D" w:rsidP="0052392A">
      <w:pPr>
        <w:jc w:val="both"/>
        <w:rPr>
          <w:i/>
          <w:iCs/>
        </w:rPr>
      </w:pPr>
      <w:r w:rsidRPr="00E3400D">
        <w:rPr>
          <w:b/>
          <w:bCs/>
        </w:rPr>
        <w:t>Proposal</w:t>
      </w:r>
      <w:r w:rsidR="0003451F">
        <w:rPr>
          <w:b/>
          <w:bCs/>
        </w:rPr>
        <w:t xml:space="preserve"> 2</w:t>
      </w:r>
      <w:r w:rsidRPr="00E3400D">
        <w:t>:</w:t>
      </w:r>
      <w:r w:rsidR="0052392A">
        <w:t xml:space="preserve"> </w:t>
      </w:r>
      <w:r w:rsidR="0052392A" w:rsidRPr="0052392A">
        <w:rPr>
          <w:i/>
          <w:iCs/>
        </w:rPr>
        <w:t xml:space="preserve">Only apply the power domain enhancement scheme to channels which are not subject to A-MPR. </w:t>
      </w:r>
      <w:r w:rsidR="004A3715" w:rsidRPr="004A3715">
        <w:rPr>
          <w:i/>
          <w:iCs/>
        </w:rPr>
        <w:t>In many cases A-MPR is defined for the channel l</w:t>
      </w:r>
      <w:r w:rsidR="00C64910">
        <w:rPr>
          <w:i/>
          <w:iCs/>
        </w:rPr>
        <w:t>ocated</w:t>
      </w:r>
      <w:r w:rsidR="004A3715" w:rsidRPr="004A3715">
        <w:rPr>
          <w:i/>
          <w:iCs/>
        </w:rPr>
        <w:t xml:space="preserve"> closest to the additional emission requirement while channels with certain guard gap default to MPR</w:t>
      </w:r>
      <w:r w:rsidR="0052392A" w:rsidRPr="0052392A">
        <w:rPr>
          <w:i/>
          <w:iCs/>
        </w:rPr>
        <w:t xml:space="preserve">. </w:t>
      </w:r>
      <w:r w:rsidR="00F65E1B" w:rsidRPr="00F65E1B">
        <w:rPr>
          <w:i/>
          <w:iCs/>
        </w:rPr>
        <w:t>Those channels could benefit from the power enhancement scheme while minimising the risk for implementation.</w:t>
      </w:r>
    </w:p>
    <w:p w14:paraId="184E10F8" w14:textId="43733ACF" w:rsidR="00D02FE2" w:rsidRDefault="00D02FE2" w:rsidP="00D02FE2">
      <w:pPr>
        <w:pStyle w:val="Heading5"/>
      </w:pPr>
      <w:r>
        <w:lastRenderedPageBreak/>
        <w:t>2.2 On IBE</w:t>
      </w:r>
    </w:p>
    <w:p w14:paraId="7904460D" w14:textId="5A2DB65E" w:rsidR="00FE3E94" w:rsidRPr="00FE3E94" w:rsidRDefault="00FE3E94" w:rsidP="00FE3E94">
      <w:r>
        <w:t>The discussion on IBE has not settled and the issue on how to properly implement this requirement is still open.</w:t>
      </w:r>
    </w:p>
    <w:p w14:paraId="4D03B6BF" w14:textId="3332EE3A" w:rsidR="00FD55EF" w:rsidRDefault="00FE3E94" w:rsidP="00675F8A">
      <w:pPr>
        <w:jc w:val="center"/>
      </w:pPr>
      <w:r w:rsidRPr="00FE3E94">
        <w:drawing>
          <wp:inline distT="0" distB="0" distL="0" distR="0" wp14:anchorId="43E9E3B0" wp14:editId="1D9BFDC7">
            <wp:extent cx="4343740" cy="399186"/>
            <wp:effectExtent l="114300" t="101600" r="114300" b="134620"/>
            <wp:docPr id="1770649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49499" name=""/>
                    <pic:cNvPicPr/>
                  </pic:nvPicPr>
                  <pic:blipFill>
                    <a:blip r:embed="rId14"/>
                    <a:stretch>
                      <a:fillRect/>
                    </a:stretch>
                  </pic:blipFill>
                  <pic:spPr>
                    <a:xfrm>
                      <a:off x="0" y="0"/>
                      <a:ext cx="4500059" cy="41355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B80AB87" w14:textId="0A44D2AC" w:rsidR="00FE3E94" w:rsidRDefault="001301DD" w:rsidP="00FE3E94">
      <w:r>
        <w:t>The IBE requirement shall follow the following rules:</w:t>
      </w:r>
    </w:p>
    <w:p w14:paraId="3937BCEE" w14:textId="1027C6F8" w:rsidR="001301DD" w:rsidRDefault="001301DD" w:rsidP="001301DD">
      <w:pPr>
        <w:pStyle w:val="ListParagraph"/>
        <w:numPr>
          <w:ilvl w:val="0"/>
          <w:numId w:val="21"/>
        </w:numPr>
      </w:pPr>
      <w:r>
        <w:t>Guard Band of the original UE channel is preserved. That means that the IBE requirement of the extended channel does not define limit inside a region which was formerly excluded from any emission requirement.</w:t>
      </w:r>
    </w:p>
    <w:p w14:paraId="21E54D14" w14:textId="102567BB" w:rsidR="00156A01" w:rsidRDefault="00156A01" w:rsidP="00156A01">
      <w:pPr>
        <w:pStyle w:val="ListParagraph"/>
        <w:numPr>
          <w:ilvl w:val="0"/>
          <w:numId w:val="21"/>
        </w:numPr>
      </w:pPr>
      <w:r>
        <w:rPr>
          <w:lang w:val="en-US"/>
        </w:rPr>
        <w:t>The guard of the extended channel does not require exception and could be subject to the extended IBE requirement.</w:t>
      </w:r>
    </w:p>
    <w:p w14:paraId="7C213640" w14:textId="06E9DA0A" w:rsidR="006F7652" w:rsidRDefault="001301DD" w:rsidP="001301DD">
      <w:pPr>
        <w:pStyle w:val="ListParagraph"/>
        <w:numPr>
          <w:ilvl w:val="0"/>
          <w:numId w:val="21"/>
        </w:numPr>
      </w:pPr>
      <w:r>
        <w:t xml:space="preserve">For partially filled channel the IBE inside the original UE channel shall be calculated as usual. No change in requirement is needed for this case. The IBE requirement outside the original UE channel can be extended from the outermost IBE limit. In case the allocation borders the lower or upper channel edge the IBE can be calculated </w:t>
      </w:r>
      <w:r w:rsidR="004878F5">
        <w:t xml:space="preserve">by setting </w:t>
      </w:r>
      <w:r w:rsidR="004878F5" w:rsidRPr="004878F5">
        <w:rPr>
          <w:lang w:val="en-US"/>
        </w:rPr>
        <w:t>ΔRB to 0</w:t>
      </w:r>
      <w:r w:rsidR="004878F5">
        <w:rPr>
          <w:lang w:val="en-US"/>
        </w:rPr>
        <w:t xml:space="preserve"> and apply the requirement to the entire lower or upper extension</w:t>
      </w:r>
      <w:r w:rsidR="00F64C9E">
        <w:rPr>
          <w:lang w:val="en-US"/>
        </w:rPr>
        <w:t xml:space="preserve"> (by preserving the guard band)</w:t>
      </w:r>
      <w:r>
        <w:t>.</w:t>
      </w:r>
    </w:p>
    <w:p w14:paraId="559F608F" w14:textId="237255A8" w:rsidR="001301DD" w:rsidRPr="002547BE" w:rsidRDefault="004C7FA6" w:rsidP="004878F5">
      <w:pPr>
        <w:pStyle w:val="ListParagraph"/>
        <w:numPr>
          <w:ilvl w:val="0"/>
          <w:numId w:val="21"/>
        </w:numPr>
      </w:pPr>
      <w:r>
        <w:t xml:space="preserve">The IBE for fully allocated channels be calculated as by setting the </w:t>
      </w:r>
      <w:r w:rsidRPr="004878F5">
        <w:rPr>
          <w:lang w:val="en-US"/>
        </w:rPr>
        <w:t>ΔRB to 0</w:t>
      </w:r>
    </w:p>
    <w:p w14:paraId="2DAB4C45" w14:textId="49549CD0" w:rsidR="00156A01" w:rsidRDefault="00CF03A8" w:rsidP="00156A01">
      <w:r>
        <w:t xml:space="preserve">With the requirements stated above we support Proposal 1 from </w:t>
      </w:r>
      <w:r w:rsidRPr="00CF03A8">
        <w:t>Issue 1-2-2</w:t>
      </w:r>
      <w:r>
        <w:t xml:space="preserve"> in WF [1]. The proposal misses the case for RB allocations bordering the lower or upper channel edge. This can be added as described in third bullet.</w:t>
      </w:r>
    </w:p>
    <w:p w14:paraId="6FA394E7" w14:textId="42576D33" w:rsidR="00CF03A8" w:rsidRPr="00CF03A8" w:rsidRDefault="00CF03A8" w:rsidP="00CF03A8">
      <w:pPr>
        <w:jc w:val="both"/>
        <w:rPr>
          <w:b/>
          <w:bCs/>
          <w:i/>
          <w:iCs/>
        </w:rPr>
      </w:pPr>
      <w:r w:rsidRPr="00CF03A8">
        <w:rPr>
          <w:b/>
          <w:bCs/>
        </w:rPr>
        <w:t>Proposal</w:t>
      </w:r>
      <w:r w:rsidR="0003451F">
        <w:rPr>
          <w:b/>
          <w:bCs/>
        </w:rPr>
        <w:t xml:space="preserve"> 3</w:t>
      </w:r>
      <w:r w:rsidRPr="00CF03A8">
        <w:rPr>
          <w:b/>
          <w:bCs/>
        </w:rPr>
        <w:t>:</w:t>
      </w:r>
      <w:r>
        <w:rPr>
          <w:b/>
          <w:bCs/>
        </w:rPr>
        <w:t xml:space="preserve"> </w:t>
      </w:r>
      <w:r w:rsidRPr="00CF03A8">
        <w:rPr>
          <w:i/>
          <w:iCs/>
        </w:rPr>
        <w:t xml:space="preserve">The IBE proposal 1 </w:t>
      </w:r>
      <w:r w:rsidRPr="00CF03A8">
        <w:rPr>
          <w:i/>
          <w:iCs/>
        </w:rPr>
        <w:t>from Issue 1-2-2 in WF [1]</w:t>
      </w:r>
      <w:r w:rsidRPr="00CF03A8">
        <w:rPr>
          <w:i/>
          <w:iCs/>
        </w:rPr>
        <w:t xml:space="preserve"> is acceptable. It misses the case of</w:t>
      </w:r>
      <w:r w:rsidRPr="00CF03A8">
        <w:rPr>
          <w:i/>
          <w:iCs/>
        </w:rPr>
        <w:t xml:space="preserve"> RB allocations bordering the lower or upper channel edge.</w:t>
      </w:r>
      <w:r w:rsidRPr="00CF03A8">
        <w:rPr>
          <w:i/>
          <w:iCs/>
        </w:rPr>
        <w:t xml:space="preserve"> In this situation </w:t>
      </w:r>
      <w:r w:rsidRPr="00CF03A8">
        <w:rPr>
          <w:i/>
          <w:iCs/>
        </w:rPr>
        <w:t>the IBE can be calculated by setting ΔRB to 0 and apply the requirement to the entire lower or upper extension (by preserving the guard band).</w:t>
      </w:r>
    </w:p>
    <w:p w14:paraId="61CE386F" w14:textId="77777777" w:rsidR="004878F5" w:rsidRDefault="004878F5" w:rsidP="004878F5"/>
    <w:p w14:paraId="34C99636" w14:textId="553B2D88" w:rsidR="008E7986" w:rsidRDefault="00A84761" w:rsidP="008E7986">
      <w:pPr>
        <w:pStyle w:val="Heading1"/>
      </w:pPr>
      <w:r>
        <w:t>4</w:t>
      </w:r>
      <w:r w:rsidR="008E7986">
        <w:tab/>
        <w:t>Conclusions</w:t>
      </w:r>
    </w:p>
    <w:p w14:paraId="714557C6" w14:textId="3A5FEE6D" w:rsidR="00F73D52" w:rsidRDefault="00F73D52" w:rsidP="00F73D52">
      <w:r>
        <w:t>This contribution provides certain considerations to the discussion on the MPR reduction which his part of the power domain enhancement WID. The following observation</w:t>
      </w:r>
      <w:r w:rsidR="00C05FBC">
        <w:t xml:space="preserve">s </w:t>
      </w:r>
      <w:r>
        <w:t>are made:</w:t>
      </w:r>
    </w:p>
    <w:p w14:paraId="3ABA84FE" w14:textId="77777777" w:rsidR="0003451F" w:rsidRDefault="0003451F" w:rsidP="0003451F">
      <w:pPr>
        <w:jc w:val="both"/>
      </w:pPr>
      <w:r w:rsidRPr="003C241C">
        <w:rPr>
          <w:b/>
          <w:bCs/>
        </w:rPr>
        <w:t>Proposal</w:t>
      </w:r>
      <w:r>
        <w:rPr>
          <w:b/>
          <w:bCs/>
        </w:rPr>
        <w:t xml:space="preserve"> 1</w:t>
      </w:r>
      <w:r w:rsidRPr="003C241C">
        <w:rPr>
          <w:b/>
          <w:bCs/>
        </w:rPr>
        <w:t>:</w:t>
      </w:r>
      <w:r>
        <w:t xml:space="preserve"> </w:t>
      </w:r>
      <w:r w:rsidRPr="007E33A1">
        <w:rPr>
          <w:i/>
          <w:iCs/>
        </w:rPr>
        <w:t>The CBW extension shall be aligned with existing channel bandwidth sizes. The extension should always result into a total number of RBs (“original UE channel RBs” + “RB extension”) being an element of Table 5.3.2-1 from TS 38.101-1. No intermediate extension shall be allowed as it introduces increased complexity for implementation and testing.</w:t>
      </w:r>
    </w:p>
    <w:p w14:paraId="31E854F4" w14:textId="77777777" w:rsidR="0003451F" w:rsidRPr="004E7807" w:rsidRDefault="0003451F" w:rsidP="0003451F">
      <w:pPr>
        <w:jc w:val="both"/>
        <w:rPr>
          <w:i/>
          <w:iCs/>
        </w:rPr>
      </w:pPr>
      <w:r w:rsidRPr="004E7807">
        <w:rPr>
          <w:b/>
          <w:bCs/>
        </w:rPr>
        <w:t>Observation</w:t>
      </w:r>
      <w:r>
        <w:rPr>
          <w:b/>
          <w:bCs/>
        </w:rPr>
        <w:t xml:space="preserve"> 1</w:t>
      </w:r>
      <w:r w:rsidRPr="004E7807">
        <w:rPr>
          <w:b/>
          <w:bCs/>
        </w:rPr>
        <w:t>:</w:t>
      </w:r>
      <w:r>
        <w:t xml:space="preserve"> </w:t>
      </w:r>
      <w:r w:rsidRPr="004E7807">
        <w:rPr>
          <w:i/>
          <w:iCs/>
        </w:rPr>
        <w:t>The typical procedure for defining A-MPR and regions is to only define A-MPR for those RB allocations which are exceeding MPR. If the emission limit requires power back-off below or close to MPR then there is often no A-MPR assigned. This can be done due to the total allowed power back-off being determined through max(MPR, A-MPR).</w:t>
      </w:r>
    </w:p>
    <w:p w14:paraId="390FE530" w14:textId="77777777" w:rsidR="0003451F" w:rsidRDefault="0003451F" w:rsidP="0003451F">
      <w:pPr>
        <w:jc w:val="both"/>
        <w:rPr>
          <w:i/>
          <w:iCs/>
        </w:rPr>
      </w:pPr>
      <w:r w:rsidRPr="004E7807">
        <w:rPr>
          <w:b/>
          <w:bCs/>
        </w:rPr>
        <w:t>Observation</w:t>
      </w:r>
      <w:r>
        <w:rPr>
          <w:b/>
          <w:bCs/>
        </w:rPr>
        <w:t xml:space="preserve"> 2</w:t>
      </w:r>
      <w:r w:rsidRPr="004E7807">
        <w:rPr>
          <w:b/>
          <w:bCs/>
        </w:rPr>
        <w:t>:</w:t>
      </w:r>
      <w:r>
        <w:t xml:space="preserve"> </w:t>
      </w:r>
      <w:r w:rsidRPr="004E7807">
        <w:rPr>
          <w:i/>
          <w:iCs/>
        </w:rPr>
        <w:t>If the power domain enhancement scheme of converting ‘outer’ to ‘inner’ is directly applied to channels being subject to A-MPR then it might imply considerable tightening for the power back-off</w:t>
      </w:r>
      <w:r>
        <w:rPr>
          <w:i/>
          <w:iCs/>
        </w:rPr>
        <w:t xml:space="preserve"> of up to 1.5dB for PC3 and up to 3.5dB for PC2</w:t>
      </w:r>
      <w:r w:rsidRPr="004E7807">
        <w:rPr>
          <w:i/>
          <w:iCs/>
        </w:rPr>
        <w:t>.</w:t>
      </w:r>
    </w:p>
    <w:p w14:paraId="31D84665" w14:textId="77777777" w:rsidR="0003451F" w:rsidRDefault="0003451F" w:rsidP="0003451F">
      <w:pPr>
        <w:jc w:val="both"/>
        <w:rPr>
          <w:i/>
          <w:iCs/>
        </w:rPr>
      </w:pPr>
      <w:r w:rsidRPr="00060A4F">
        <w:rPr>
          <w:b/>
          <w:bCs/>
        </w:rPr>
        <w:t>Observation</w:t>
      </w:r>
      <w:r>
        <w:rPr>
          <w:b/>
          <w:bCs/>
        </w:rPr>
        <w:t xml:space="preserve"> 3</w:t>
      </w:r>
      <w:r w:rsidRPr="00060A4F">
        <w:rPr>
          <w:b/>
          <w:bCs/>
        </w:rPr>
        <w:t>:</w:t>
      </w:r>
      <w:r>
        <w:rPr>
          <w:i/>
          <w:iCs/>
        </w:rPr>
        <w:t xml:space="preserve"> Tightening the power back-off might require additional testing which adds time and cost to a UE supporting the new power domain enhancement scheme. </w:t>
      </w:r>
    </w:p>
    <w:p w14:paraId="51115001" w14:textId="77777777" w:rsidR="0003451F" w:rsidRDefault="0003451F" w:rsidP="0003451F">
      <w:pPr>
        <w:jc w:val="both"/>
        <w:rPr>
          <w:i/>
          <w:iCs/>
        </w:rPr>
      </w:pPr>
      <w:r w:rsidRPr="00E3400D">
        <w:rPr>
          <w:b/>
          <w:bCs/>
        </w:rPr>
        <w:t>Proposal</w:t>
      </w:r>
      <w:r>
        <w:rPr>
          <w:b/>
          <w:bCs/>
        </w:rPr>
        <w:t xml:space="preserve"> 2</w:t>
      </w:r>
      <w:r w:rsidRPr="00E3400D">
        <w:t>:</w:t>
      </w:r>
      <w:r>
        <w:t xml:space="preserve"> </w:t>
      </w:r>
      <w:r w:rsidRPr="0052392A">
        <w:rPr>
          <w:i/>
          <w:iCs/>
        </w:rPr>
        <w:t xml:space="preserve">Only apply the power domain enhancement scheme to channels which are not subject to A-MPR. </w:t>
      </w:r>
      <w:r w:rsidRPr="004A3715">
        <w:rPr>
          <w:i/>
          <w:iCs/>
        </w:rPr>
        <w:t>In many cases A-MPR is defined for the channel l</w:t>
      </w:r>
      <w:r>
        <w:rPr>
          <w:i/>
          <w:iCs/>
        </w:rPr>
        <w:t>ocated</w:t>
      </w:r>
      <w:r w:rsidRPr="004A3715">
        <w:rPr>
          <w:i/>
          <w:iCs/>
        </w:rPr>
        <w:t xml:space="preserve"> closest to the additional emission requirement while channels with certain guard gap default to MPR</w:t>
      </w:r>
      <w:r w:rsidRPr="0052392A">
        <w:rPr>
          <w:i/>
          <w:iCs/>
        </w:rPr>
        <w:t xml:space="preserve">. </w:t>
      </w:r>
      <w:r w:rsidRPr="00F65E1B">
        <w:rPr>
          <w:i/>
          <w:iCs/>
        </w:rPr>
        <w:t>Those channels could benefit from the power enhancement scheme while minimising the risk for implementation.</w:t>
      </w:r>
    </w:p>
    <w:p w14:paraId="2090C3C9" w14:textId="706F54B8" w:rsidR="0003451F" w:rsidRPr="0003451F" w:rsidRDefault="0003451F" w:rsidP="0003451F">
      <w:pPr>
        <w:jc w:val="both"/>
        <w:rPr>
          <w:b/>
          <w:bCs/>
          <w:i/>
          <w:iCs/>
        </w:rPr>
      </w:pPr>
      <w:r w:rsidRPr="00CF03A8">
        <w:rPr>
          <w:b/>
          <w:bCs/>
        </w:rPr>
        <w:t>Proposal</w:t>
      </w:r>
      <w:r>
        <w:rPr>
          <w:b/>
          <w:bCs/>
        </w:rPr>
        <w:t xml:space="preserve"> 3</w:t>
      </w:r>
      <w:r w:rsidRPr="00CF03A8">
        <w:rPr>
          <w:b/>
          <w:bCs/>
        </w:rPr>
        <w:t>:</w:t>
      </w:r>
      <w:r>
        <w:rPr>
          <w:b/>
          <w:bCs/>
        </w:rPr>
        <w:t xml:space="preserve"> </w:t>
      </w:r>
      <w:r w:rsidRPr="00CF03A8">
        <w:rPr>
          <w:i/>
          <w:iCs/>
        </w:rPr>
        <w:t>The IBE proposal 1 from Issue 1-2-2 in WF [1] is acceptable. It misses the case of RB allocations bordering the lower or upper channel edge. In this situation the IBE can be calculated by setting ΔRB to 0 and apply the requirement to the entire lower or upper extension (by preserving the guard band).</w:t>
      </w:r>
    </w:p>
    <w:p w14:paraId="27533276" w14:textId="77777777" w:rsidR="00692E14" w:rsidRDefault="00692E14" w:rsidP="00F73D52"/>
    <w:p w14:paraId="5D2DDC34" w14:textId="77777777" w:rsidR="005E69AE" w:rsidRDefault="005E69AE" w:rsidP="005E69AE">
      <w:pPr>
        <w:pStyle w:val="Heading1"/>
      </w:pPr>
      <w:r>
        <w:lastRenderedPageBreak/>
        <w:t>4</w:t>
      </w:r>
      <w:r>
        <w:tab/>
        <w:t>References</w:t>
      </w:r>
    </w:p>
    <w:bookmarkEnd w:id="0"/>
    <w:p w14:paraId="46030AF9" w14:textId="63336A97" w:rsidR="006F7CE5" w:rsidRPr="009A221B"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76725EB5" w:rsidR="00EB2076" w:rsidRDefault="00320B59" w:rsidP="008630CC">
      <w:pPr>
        <w:numPr>
          <w:ilvl w:val="0"/>
          <w:numId w:val="11"/>
        </w:numPr>
        <w:rPr>
          <w:bCs/>
          <w:lang w:val="en-US"/>
        </w:rPr>
      </w:pPr>
      <w:r w:rsidRPr="00320B59">
        <w:rPr>
          <w:bCs/>
          <w:lang w:val="en-US"/>
        </w:rPr>
        <w:t>R4-2420527</w:t>
      </w:r>
      <w:r w:rsidR="00EB2076">
        <w:rPr>
          <w:bCs/>
          <w:lang w:val="en-US"/>
        </w:rPr>
        <w:t>, “</w:t>
      </w:r>
      <w:r w:rsidRPr="00320B59">
        <w:rPr>
          <w:bCs/>
        </w:rPr>
        <w:t>WF on Power domain enhancement</w:t>
      </w:r>
      <w:r w:rsidR="00EB2076">
        <w:rPr>
          <w:bCs/>
          <w:lang w:val="en-US"/>
        </w:rPr>
        <w:t xml:space="preserve">”, </w:t>
      </w:r>
      <w:r w:rsidR="00EB2076" w:rsidRPr="00EB2076">
        <w:rPr>
          <w:bCs/>
          <w:lang w:val="en-US"/>
        </w:rPr>
        <w:t xml:space="preserve">Huawei, </w:t>
      </w:r>
      <w:proofErr w:type="spellStart"/>
      <w:r w:rsidR="00EB2076" w:rsidRPr="00EB2076">
        <w:rPr>
          <w:bCs/>
          <w:lang w:val="en-US"/>
        </w:rPr>
        <w:t>HiSilicon</w:t>
      </w:r>
      <w:proofErr w:type="spellEnd"/>
      <w:r w:rsidR="00EB2076">
        <w:rPr>
          <w:bCs/>
          <w:lang w:val="en-US"/>
        </w:rPr>
        <w:t xml:space="preserve">, </w:t>
      </w:r>
      <w:r w:rsidRPr="00320B59">
        <w:rPr>
          <w:bCs/>
          <w:lang w:val="en-US"/>
        </w:rPr>
        <w:t>3GPP TSG-WG4 Meeting #113</w:t>
      </w:r>
    </w:p>
    <w:p w14:paraId="268EFB3C" w14:textId="1A35678C" w:rsidR="00513F73" w:rsidRDefault="00513F73" w:rsidP="008630CC">
      <w:pPr>
        <w:numPr>
          <w:ilvl w:val="0"/>
          <w:numId w:val="11"/>
        </w:numPr>
        <w:rPr>
          <w:bCs/>
          <w:lang w:val="en-US"/>
        </w:rPr>
      </w:pPr>
      <w:r w:rsidRPr="00513F73">
        <w:rPr>
          <w:bCs/>
          <w:lang w:val="en-US"/>
        </w:rPr>
        <w:t>R4-2418170</w:t>
      </w:r>
      <w:r>
        <w:rPr>
          <w:bCs/>
          <w:lang w:val="en-US"/>
        </w:rPr>
        <w:t>, “</w:t>
      </w:r>
      <w:r w:rsidRPr="00513F73">
        <w:rPr>
          <w:bCs/>
          <w:lang w:val="en-US"/>
        </w:rPr>
        <w:t>Discussion on UE RF power enhancement for NR single carrier</w:t>
      </w:r>
      <w:r>
        <w:rPr>
          <w:bCs/>
          <w:lang w:val="en-US"/>
        </w:rPr>
        <w:t xml:space="preserve">”, vivo, </w:t>
      </w:r>
      <w:r w:rsidRPr="00513F73">
        <w:rPr>
          <w:bCs/>
          <w:lang w:val="en-US"/>
        </w:rPr>
        <w:t>3GPP TSG-RAN4 Meeting #113</w:t>
      </w:r>
      <w:r>
        <w:rPr>
          <w:bCs/>
          <w:lang w:val="en-US"/>
        </w:rPr>
        <w:t xml:space="preserve"> </w:t>
      </w:r>
    </w:p>
    <w:p w14:paraId="21F9D74F" w14:textId="77777777" w:rsidR="005E69AE" w:rsidRPr="007F3A2A" w:rsidRDefault="005E69AE" w:rsidP="005E69AE">
      <w:pPr>
        <w:rPr>
          <w:lang w:val="en-US"/>
        </w:rPr>
      </w:pPr>
    </w:p>
    <w:sectPr w:rsidR="005E69AE" w:rsidRPr="007F3A2A" w:rsidSect="00750CC1">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8265" w14:textId="77777777" w:rsidR="00DB71C0" w:rsidRDefault="00DB71C0">
      <w:r>
        <w:separator/>
      </w:r>
    </w:p>
  </w:endnote>
  <w:endnote w:type="continuationSeparator" w:id="0">
    <w:p w14:paraId="0B896313" w14:textId="77777777" w:rsidR="00DB71C0" w:rsidRDefault="00DB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7CE5F" w14:textId="77777777" w:rsidR="00DB71C0" w:rsidRDefault="00DB71C0">
      <w:r>
        <w:separator/>
      </w:r>
    </w:p>
  </w:footnote>
  <w:footnote w:type="continuationSeparator" w:id="0">
    <w:p w14:paraId="2DADF7A2" w14:textId="77777777" w:rsidR="00DB71C0" w:rsidRDefault="00DB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1265EA"/>
    <w:multiLevelType w:val="hybridMultilevel"/>
    <w:tmpl w:val="3576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7"/>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6"/>
  </w:num>
  <w:num w:numId="12" w16cid:durableId="980811830">
    <w:abstractNumId w:val="18"/>
  </w:num>
  <w:num w:numId="13" w16cid:durableId="529956578">
    <w:abstractNumId w:val="13"/>
  </w:num>
  <w:num w:numId="14" w16cid:durableId="1744718227">
    <w:abstractNumId w:val="12"/>
  </w:num>
  <w:num w:numId="15" w16cid:durableId="1131510691">
    <w:abstractNumId w:val="9"/>
  </w:num>
  <w:num w:numId="16" w16cid:durableId="500437673">
    <w:abstractNumId w:val="5"/>
  </w:num>
  <w:num w:numId="17" w16cid:durableId="1458336715">
    <w:abstractNumId w:val="14"/>
  </w:num>
  <w:num w:numId="18" w16cid:durableId="577711409">
    <w:abstractNumId w:val="15"/>
  </w:num>
  <w:num w:numId="19" w16cid:durableId="1152403646">
    <w:abstractNumId w:val="7"/>
  </w:num>
  <w:num w:numId="20" w16cid:durableId="1593008818">
    <w:abstractNumId w:val="4"/>
  </w:num>
  <w:num w:numId="21" w16cid:durableId="8034986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3A34"/>
    <w:rsid w:val="0000424C"/>
    <w:rsid w:val="00006AA3"/>
    <w:rsid w:val="0001187A"/>
    <w:rsid w:val="0001219B"/>
    <w:rsid w:val="00014EB2"/>
    <w:rsid w:val="00015CF0"/>
    <w:rsid w:val="0001722D"/>
    <w:rsid w:val="000248F1"/>
    <w:rsid w:val="00025392"/>
    <w:rsid w:val="00025443"/>
    <w:rsid w:val="00032EDA"/>
    <w:rsid w:val="00033397"/>
    <w:rsid w:val="0003447A"/>
    <w:rsid w:val="0003451F"/>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FA3"/>
    <w:rsid w:val="00054A22"/>
    <w:rsid w:val="00054E52"/>
    <w:rsid w:val="00054F1F"/>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68F3"/>
    <w:rsid w:val="000B0AFE"/>
    <w:rsid w:val="000B3682"/>
    <w:rsid w:val="000B6541"/>
    <w:rsid w:val="000B7959"/>
    <w:rsid w:val="000C05BE"/>
    <w:rsid w:val="000C0D1B"/>
    <w:rsid w:val="000C1193"/>
    <w:rsid w:val="000C2203"/>
    <w:rsid w:val="000C4381"/>
    <w:rsid w:val="000C47C3"/>
    <w:rsid w:val="000D2A2D"/>
    <w:rsid w:val="000D58AB"/>
    <w:rsid w:val="000D640F"/>
    <w:rsid w:val="000E039B"/>
    <w:rsid w:val="000E1251"/>
    <w:rsid w:val="000E3065"/>
    <w:rsid w:val="000E4A3E"/>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4BC6"/>
    <w:rsid w:val="001064E7"/>
    <w:rsid w:val="001073F6"/>
    <w:rsid w:val="00107FB2"/>
    <w:rsid w:val="001112A7"/>
    <w:rsid w:val="00114E2C"/>
    <w:rsid w:val="0012118D"/>
    <w:rsid w:val="0012407D"/>
    <w:rsid w:val="0012493E"/>
    <w:rsid w:val="00124998"/>
    <w:rsid w:val="00126CA6"/>
    <w:rsid w:val="001301DD"/>
    <w:rsid w:val="00131A96"/>
    <w:rsid w:val="00132BFB"/>
    <w:rsid w:val="00133525"/>
    <w:rsid w:val="00136368"/>
    <w:rsid w:val="001375F4"/>
    <w:rsid w:val="00140B8D"/>
    <w:rsid w:val="00141DDF"/>
    <w:rsid w:val="00145755"/>
    <w:rsid w:val="00146221"/>
    <w:rsid w:val="00151DA2"/>
    <w:rsid w:val="00152929"/>
    <w:rsid w:val="00152973"/>
    <w:rsid w:val="001542D7"/>
    <w:rsid w:val="00154F45"/>
    <w:rsid w:val="00155F71"/>
    <w:rsid w:val="00156A01"/>
    <w:rsid w:val="0015753C"/>
    <w:rsid w:val="0016170A"/>
    <w:rsid w:val="00161A9C"/>
    <w:rsid w:val="00164651"/>
    <w:rsid w:val="00167169"/>
    <w:rsid w:val="00172A7E"/>
    <w:rsid w:val="00173B76"/>
    <w:rsid w:val="00173B8B"/>
    <w:rsid w:val="00174887"/>
    <w:rsid w:val="00176C55"/>
    <w:rsid w:val="00176E29"/>
    <w:rsid w:val="00177BF7"/>
    <w:rsid w:val="00181C7F"/>
    <w:rsid w:val="001825E3"/>
    <w:rsid w:val="001827A9"/>
    <w:rsid w:val="00183DAE"/>
    <w:rsid w:val="00185B14"/>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E1C80"/>
    <w:rsid w:val="001E70D1"/>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230D"/>
    <w:rsid w:val="002124DC"/>
    <w:rsid w:val="0021467A"/>
    <w:rsid w:val="00215574"/>
    <w:rsid w:val="002166B1"/>
    <w:rsid w:val="0021742C"/>
    <w:rsid w:val="00217FBC"/>
    <w:rsid w:val="00223D79"/>
    <w:rsid w:val="00227393"/>
    <w:rsid w:val="002330E2"/>
    <w:rsid w:val="002334C4"/>
    <w:rsid w:val="002347A2"/>
    <w:rsid w:val="00236FDB"/>
    <w:rsid w:val="002402D7"/>
    <w:rsid w:val="00243987"/>
    <w:rsid w:val="00245DBF"/>
    <w:rsid w:val="002469F9"/>
    <w:rsid w:val="00247926"/>
    <w:rsid w:val="00251005"/>
    <w:rsid w:val="00251B42"/>
    <w:rsid w:val="002520AD"/>
    <w:rsid w:val="002545D3"/>
    <w:rsid w:val="002547BE"/>
    <w:rsid w:val="00256451"/>
    <w:rsid w:val="00257476"/>
    <w:rsid w:val="0025766C"/>
    <w:rsid w:val="0026127A"/>
    <w:rsid w:val="00261AE0"/>
    <w:rsid w:val="0026254E"/>
    <w:rsid w:val="00262F9B"/>
    <w:rsid w:val="00263C74"/>
    <w:rsid w:val="0026414D"/>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2F6E"/>
    <w:rsid w:val="0031302C"/>
    <w:rsid w:val="003138B0"/>
    <w:rsid w:val="003172DC"/>
    <w:rsid w:val="00320180"/>
    <w:rsid w:val="00320B59"/>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5181"/>
    <w:rsid w:val="004758E7"/>
    <w:rsid w:val="004759F3"/>
    <w:rsid w:val="004826A9"/>
    <w:rsid w:val="00482883"/>
    <w:rsid w:val="004837BD"/>
    <w:rsid w:val="00484657"/>
    <w:rsid w:val="00484CDE"/>
    <w:rsid w:val="00485640"/>
    <w:rsid w:val="004878F5"/>
    <w:rsid w:val="00491BD5"/>
    <w:rsid w:val="00493104"/>
    <w:rsid w:val="00496011"/>
    <w:rsid w:val="00496ACE"/>
    <w:rsid w:val="0049720D"/>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C7FA6"/>
    <w:rsid w:val="004D2A3A"/>
    <w:rsid w:val="004D3578"/>
    <w:rsid w:val="004D4338"/>
    <w:rsid w:val="004D546E"/>
    <w:rsid w:val="004D640B"/>
    <w:rsid w:val="004D640E"/>
    <w:rsid w:val="004E0F18"/>
    <w:rsid w:val="004E17C7"/>
    <w:rsid w:val="004E213A"/>
    <w:rsid w:val="004E2654"/>
    <w:rsid w:val="004E2D77"/>
    <w:rsid w:val="004E39F9"/>
    <w:rsid w:val="004E3D20"/>
    <w:rsid w:val="004E430C"/>
    <w:rsid w:val="004E4647"/>
    <w:rsid w:val="004E54EF"/>
    <w:rsid w:val="004E7807"/>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3F73"/>
    <w:rsid w:val="005149D9"/>
    <w:rsid w:val="00515717"/>
    <w:rsid w:val="0051617C"/>
    <w:rsid w:val="00521A4C"/>
    <w:rsid w:val="0052392A"/>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51E8E"/>
    <w:rsid w:val="00553FE8"/>
    <w:rsid w:val="00554FE1"/>
    <w:rsid w:val="00555723"/>
    <w:rsid w:val="00556339"/>
    <w:rsid w:val="005571AD"/>
    <w:rsid w:val="00560943"/>
    <w:rsid w:val="00562F8F"/>
    <w:rsid w:val="005636C1"/>
    <w:rsid w:val="005641AF"/>
    <w:rsid w:val="00564A23"/>
    <w:rsid w:val="00565087"/>
    <w:rsid w:val="00566134"/>
    <w:rsid w:val="00570ED1"/>
    <w:rsid w:val="0057261C"/>
    <w:rsid w:val="00572E14"/>
    <w:rsid w:val="005742FD"/>
    <w:rsid w:val="005743C8"/>
    <w:rsid w:val="00574C84"/>
    <w:rsid w:val="005767C4"/>
    <w:rsid w:val="00580C3D"/>
    <w:rsid w:val="005837C8"/>
    <w:rsid w:val="00585C45"/>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E02"/>
    <w:rsid w:val="005F6F36"/>
    <w:rsid w:val="00601153"/>
    <w:rsid w:val="00602AEA"/>
    <w:rsid w:val="00604E03"/>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C86"/>
    <w:rsid w:val="006F12BA"/>
    <w:rsid w:val="006F1FC9"/>
    <w:rsid w:val="006F5C77"/>
    <w:rsid w:val="006F682D"/>
    <w:rsid w:val="006F6BC7"/>
    <w:rsid w:val="006F7652"/>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785A"/>
    <w:rsid w:val="007A0D0C"/>
    <w:rsid w:val="007A1134"/>
    <w:rsid w:val="007A299C"/>
    <w:rsid w:val="007A3268"/>
    <w:rsid w:val="007A33CD"/>
    <w:rsid w:val="007A491F"/>
    <w:rsid w:val="007A4C28"/>
    <w:rsid w:val="007A636A"/>
    <w:rsid w:val="007B083C"/>
    <w:rsid w:val="007B600E"/>
    <w:rsid w:val="007B6FD1"/>
    <w:rsid w:val="007C491A"/>
    <w:rsid w:val="007C4B30"/>
    <w:rsid w:val="007C5B26"/>
    <w:rsid w:val="007C692F"/>
    <w:rsid w:val="007C7952"/>
    <w:rsid w:val="007D069E"/>
    <w:rsid w:val="007D122C"/>
    <w:rsid w:val="007D2E3A"/>
    <w:rsid w:val="007D34C1"/>
    <w:rsid w:val="007D3B38"/>
    <w:rsid w:val="007D49C9"/>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4CD0"/>
    <w:rsid w:val="00874EF7"/>
    <w:rsid w:val="008768CA"/>
    <w:rsid w:val="00877A33"/>
    <w:rsid w:val="00877CF6"/>
    <w:rsid w:val="0088464B"/>
    <w:rsid w:val="008853FE"/>
    <w:rsid w:val="008929FC"/>
    <w:rsid w:val="00895B90"/>
    <w:rsid w:val="008974F7"/>
    <w:rsid w:val="008A093A"/>
    <w:rsid w:val="008A2C63"/>
    <w:rsid w:val="008A4747"/>
    <w:rsid w:val="008A7F78"/>
    <w:rsid w:val="008B4142"/>
    <w:rsid w:val="008B48A0"/>
    <w:rsid w:val="008B5634"/>
    <w:rsid w:val="008C0511"/>
    <w:rsid w:val="008C06C2"/>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5338"/>
    <w:rsid w:val="008F5928"/>
    <w:rsid w:val="008F65D3"/>
    <w:rsid w:val="00900A09"/>
    <w:rsid w:val="009020CF"/>
    <w:rsid w:val="0090271F"/>
    <w:rsid w:val="00902E23"/>
    <w:rsid w:val="00903EF6"/>
    <w:rsid w:val="00905B7B"/>
    <w:rsid w:val="009077CF"/>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0038"/>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6F1D"/>
    <w:rsid w:val="00AF7049"/>
    <w:rsid w:val="00AF7255"/>
    <w:rsid w:val="00B00CC1"/>
    <w:rsid w:val="00B01D94"/>
    <w:rsid w:val="00B0219B"/>
    <w:rsid w:val="00B02BC6"/>
    <w:rsid w:val="00B02C90"/>
    <w:rsid w:val="00B036C2"/>
    <w:rsid w:val="00B036C5"/>
    <w:rsid w:val="00B04944"/>
    <w:rsid w:val="00B055D4"/>
    <w:rsid w:val="00B074B4"/>
    <w:rsid w:val="00B07BF3"/>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65C8"/>
    <w:rsid w:val="00B7793A"/>
    <w:rsid w:val="00B80452"/>
    <w:rsid w:val="00B807EB"/>
    <w:rsid w:val="00B82DFD"/>
    <w:rsid w:val="00B84DD2"/>
    <w:rsid w:val="00B85B33"/>
    <w:rsid w:val="00B907BC"/>
    <w:rsid w:val="00B9159B"/>
    <w:rsid w:val="00B92889"/>
    <w:rsid w:val="00B92E6B"/>
    <w:rsid w:val="00B93086"/>
    <w:rsid w:val="00B94827"/>
    <w:rsid w:val="00B97442"/>
    <w:rsid w:val="00BA0942"/>
    <w:rsid w:val="00BA19ED"/>
    <w:rsid w:val="00BA1CFF"/>
    <w:rsid w:val="00BA300B"/>
    <w:rsid w:val="00BA4B8D"/>
    <w:rsid w:val="00BA4F78"/>
    <w:rsid w:val="00BA705F"/>
    <w:rsid w:val="00BB090E"/>
    <w:rsid w:val="00BB0CC4"/>
    <w:rsid w:val="00BB1A37"/>
    <w:rsid w:val="00BB22A8"/>
    <w:rsid w:val="00BB306C"/>
    <w:rsid w:val="00BB3B7A"/>
    <w:rsid w:val="00BB41E6"/>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1D84"/>
    <w:rsid w:val="00BD69CB"/>
    <w:rsid w:val="00BD760D"/>
    <w:rsid w:val="00BD7CA8"/>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76BE"/>
    <w:rsid w:val="00C22FD9"/>
    <w:rsid w:val="00C26B20"/>
    <w:rsid w:val="00C33079"/>
    <w:rsid w:val="00C34F44"/>
    <w:rsid w:val="00C353F5"/>
    <w:rsid w:val="00C40F21"/>
    <w:rsid w:val="00C41ADB"/>
    <w:rsid w:val="00C4323D"/>
    <w:rsid w:val="00C43DCD"/>
    <w:rsid w:val="00C45231"/>
    <w:rsid w:val="00C4537F"/>
    <w:rsid w:val="00C45F09"/>
    <w:rsid w:val="00C4608A"/>
    <w:rsid w:val="00C4680F"/>
    <w:rsid w:val="00C4696B"/>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647F"/>
    <w:rsid w:val="00CD7151"/>
    <w:rsid w:val="00CD78CC"/>
    <w:rsid w:val="00CD7F6C"/>
    <w:rsid w:val="00CE029B"/>
    <w:rsid w:val="00CE1D83"/>
    <w:rsid w:val="00CE3059"/>
    <w:rsid w:val="00CE60D8"/>
    <w:rsid w:val="00CE7214"/>
    <w:rsid w:val="00CF03A8"/>
    <w:rsid w:val="00CF20E3"/>
    <w:rsid w:val="00CF244A"/>
    <w:rsid w:val="00CF2F3C"/>
    <w:rsid w:val="00CF31B1"/>
    <w:rsid w:val="00CF4411"/>
    <w:rsid w:val="00CF5290"/>
    <w:rsid w:val="00CF6A82"/>
    <w:rsid w:val="00CF7C3F"/>
    <w:rsid w:val="00D017AE"/>
    <w:rsid w:val="00D019E3"/>
    <w:rsid w:val="00D02FE2"/>
    <w:rsid w:val="00D04091"/>
    <w:rsid w:val="00D05BF1"/>
    <w:rsid w:val="00D060B3"/>
    <w:rsid w:val="00D0708E"/>
    <w:rsid w:val="00D07831"/>
    <w:rsid w:val="00D10D66"/>
    <w:rsid w:val="00D10FF7"/>
    <w:rsid w:val="00D11E6A"/>
    <w:rsid w:val="00D131EC"/>
    <w:rsid w:val="00D13715"/>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B71C0"/>
    <w:rsid w:val="00DC0E51"/>
    <w:rsid w:val="00DC156C"/>
    <w:rsid w:val="00DC1E1A"/>
    <w:rsid w:val="00DC309B"/>
    <w:rsid w:val="00DC382F"/>
    <w:rsid w:val="00DC4DA2"/>
    <w:rsid w:val="00DC53FE"/>
    <w:rsid w:val="00DC65CC"/>
    <w:rsid w:val="00DC6616"/>
    <w:rsid w:val="00DD46B3"/>
    <w:rsid w:val="00DD4C17"/>
    <w:rsid w:val="00DD5B05"/>
    <w:rsid w:val="00DD5D25"/>
    <w:rsid w:val="00DD65DC"/>
    <w:rsid w:val="00DD7FF2"/>
    <w:rsid w:val="00DE15B7"/>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15D1"/>
    <w:rsid w:val="00E31A28"/>
    <w:rsid w:val="00E32473"/>
    <w:rsid w:val="00E3400D"/>
    <w:rsid w:val="00E341F7"/>
    <w:rsid w:val="00E34C44"/>
    <w:rsid w:val="00E35166"/>
    <w:rsid w:val="00E3557D"/>
    <w:rsid w:val="00E4054F"/>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42BC"/>
    <w:rsid w:val="00E5541B"/>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00F9"/>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4C9E"/>
    <w:rsid w:val="00F653B8"/>
    <w:rsid w:val="00F655F3"/>
    <w:rsid w:val="00F65781"/>
    <w:rsid w:val="00F65E1B"/>
    <w:rsid w:val="00F67E8B"/>
    <w:rsid w:val="00F67EE8"/>
    <w:rsid w:val="00F70647"/>
    <w:rsid w:val="00F7204E"/>
    <w:rsid w:val="00F7302D"/>
    <w:rsid w:val="00F73852"/>
    <w:rsid w:val="00F73D52"/>
    <w:rsid w:val="00F73F71"/>
    <w:rsid w:val="00F74DDC"/>
    <w:rsid w:val="00F81946"/>
    <w:rsid w:val="00F81A27"/>
    <w:rsid w:val="00F8214F"/>
    <w:rsid w:val="00F83432"/>
    <w:rsid w:val="00F8688A"/>
    <w:rsid w:val="00F87A6E"/>
    <w:rsid w:val="00F90B33"/>
    <w:rsid w:val="00F90B8B"/>
    <w:rsid w:val="00F9227A"/>
    <w:rsid w:val="00F92A6F"/>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5712"/>
    <w:rsid w:val="00FB7AD7"/>
    <w:rsid w:val="00FB7DF6"/>
    <w:rsid w:val="00FC02A4"/>
    <w:rsid w:val="00FC1192"/>
    <w:rsid w:val="00FC133C"/>
    <w:rsid w:val="00FC1803"/>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318F"/>
    <w:rsid w:val="00FE3E94"/>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7019</TotalTime>
  <Pages>4</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1146</cp:revision>
  <cp:lastPrinted>2019-02-25T14:05:00Z</cp:lastPrinted>
  <dcterms:created xsi:type="dcterms:W3CDTF">2020-02-11T14:49:00Z</dcterms:created>
  <dcterms:modified xsi:type="dcterms:W3CDTF">2025-02-07T15:53:00Z</dcterms:modified>
  <cp:category/>
</cp:coreProperties>
</file>